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B0" w:rsidRPr="009110B0" w:rsidRDefault="009110B0" w:rsidP="009110B0">
      <w:pPr>
        <w:spacing w:after="0" w:line="360" w:lineRule="auto"/>
        <w:jc w:val="both"/>
        <w:rPr>
          <w:rFonts w:ascii="Calibri" w:eastAsia="Arial Unicode MS" w:hAnsi="Calibri" w:cs="Tahoma"/>
          <w:bCs/>
          <w:color w:val="000000"/>
          <w:sz w:val="24"/>
          <w:szCs w:val="24"/>
          <w:u w:color="000000"/>
          <w:bdr w:val="none" w:sz="0" w:space="0" w:color="auto" w:frame="1"/>
          <w:lang w:val="pt-PT"/>
        </w:rPr>
      </w:pPr>
      <w:bookmarkStart w:id="0" w:name="_GoBack"/>
      <w:bookmarkEnd w:id="0"/>
    </w:p>
    <w:tbl>
      <w:tblPr>
        <w:tblpPr w:leftFromText="180" w:rightFromText="180" w:vertAnchor="text" w:horzAnchor="margin" w:tblpY="80"/>
        <w:tblW w:w="97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2593"/>
        <w:gridCol w:w="2268"/>
        <w:gridCol w:w="1829"/>
        <w:gridCol w:w="3016"/>
      </w:tblGrid>
      <w:tr w:rsidR="009110B0" w:rsidRPr="009110B0" w:rsidTr="009110B0">
        <w:trPr>
          <w:trHeight w:val="275"/>
        </w:trPr>
        <w:tc>
          <w:tcPr>
            <w:tcW w:w="970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Componente Curricular:  Exclusivo de curso ( X )         Eixo Comum (  )                 Eixo Universal (  )</w:t>
            </w:r>
          </w:p>
        </w:tc>
      </w:tr>
      <w:tr w:rsidR="009110B0" w:rsidRPr="009110B0" w:rsidTr="009110B0">
        <w:trPr>
          <w:trHeight w:val="372"/>
        </w:trPr>
        <w:tc>
          <w:tcPr>
            <w:tcW w:w="485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24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110B0" w:rsidRPr="009110B0" w:rsidRDefault="009110B0" w:rsidP="009110B0">
            <w:pPr>
              <w:spacing w:after="0" w:line="240" w:lineRule="auto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Núcleo Temático: PRÁTICAS COMUNICACIONAIS </w:t>
            </w:r>
          </w:p>
        </w:tc>
      </w:tr>
      <w:tr w:rsidR="009110B0" w:rsidRPr="009110B0" w:rsidTr="009110B0">
        <w:trPr>
          <w:trHeight w:val="790"/>
        </w:trPr>
        <w:tc>
          <w:tcPr>
            <w:tcW w:w="669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Nome do Componente Curricular: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PROJETO PROFISSIONAL II (MERCADO, COMUNICAÇÃO E CONSUMO)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Calibri" w:hAnsi="Times New Roman" w:cs="Calibri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Código do Componente Curricular: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b/>
                <w:b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 </w:t>
            </w:r>
          </w:p>
        </w:tc>
      </w:tr>
      <w:tr w:rsidR="009110B0" w:rsidRPr="009110B0" w:rsidTr="009110B0">
        <w:trPr>
          <w:trHeight w:val="530"/>
        </w:trPr>
        <w:tc>
          <w:tcPr>
            <w:tcW w:w="2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Carga horária: 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4 horas aula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64h/ 76ha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</w:pPr>
            <w:proofErr w:type="gramStart"/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>(  X</w:t>
            </w:r>
            <w:proofErr w:type="gramEnd"/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 xml:space="preserve"> ) Sala de aula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</w:pPr>
            <w:proofErr w:type="gramStart"/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 xml:space="preserve">(  </w:t>
            </w:r>
            <w:proofErr w:type="gramEnd"/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 xml:space="preserve">  ) Laboratório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 xml:space="preserve">(    ) </w:t>
            </w:r>
            <w:proofErr w:type="spellStart"/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Etapa: 4</w:t>
            </w:r>
          </w:p>
        </w:tc>
      </w:tr>
      <w:tr w:rsidR="009110B0" w:rsidRPr="009110B0" w:rsidTr="009110B0">
        <w:trPr>
          <w:trHeight w:val="2212"/>
        </w:trPr>
        <w:tc>
          <w:tcPr>
            <w:tcW w:w="97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Ementa: </w:t>
            </w:r>
            <w:r w:rsidRPr="009110B0"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 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Relação sobre tendências e sobre a força da rede de influências no processo de consumo.  Curva de moda e modismo e a relação entre elas e as estratégias do composto mercadológico. O pensamento estratégico de marketing em função das tendências macroambientais. Mercados de consumo na contemporaneidade. Tendências e cenários estratégicos nos mercados segmentados e/ou de nicho.   </w:t>
            </w:r>
          </w:p>
        </w:tc>
      </w:tr>
      <w:tr w:rsidR="009110B0" w:rsidRPr="009110B0" w:rsidTr="009110B0">
        <w:trPr>
          <w:trHeight w:val="767"/>
        </w:trPr>
        <w:tc>
          <w:tcPr>
            <w:tcW w:w="97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Conteúdo Programático: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- Introdução do planejamento de marketing: compreensão inicial sobre características da empresa. Histórico, determinação de propósito, missão, visão e valores;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- Entendimento do mercado: revisão macro, micro e ambiente interno.  Pesquisa de Marketing.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Utilização da SWOT para compreensão do cenário. 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- Conceituação e implantação das ferramentas de análise de marketing que sejam adequadas para a empresa/mercado em questão. Revisão das matrizes (5 forças de Porter, BCG e CVP) e conceituação de novas matrizes de análise: matriz McKinsey-GE e matriz Ansoff;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– Definição de objetivos e estratégias de marketing;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- Tomada de decisões em relação aos 4 P’s do marketing mix, a partir das descobertas feitas nas etapas anteriores: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- Produto, Preço, Praça e Promoção;</w:t>
            </w:r>
          </w:p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lastRenderedPageBreak/>
              <w:t>- Orçamento e Cronograma de implementação.</w:t>
            </w:r>
          </w:p>
        </w:tc>
      </w:tr>
      <w:tr w:rsidR="009110B0" w:rsidRPr="009110B0" w:rsidTr="009110B0">
        <w:trPr>
          <w:trHeight w:val="1314"/>
        </w:trPr>
        <w:tc>
          <w:tcPr>
            <w:tcW w:w="97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tbl>
            <w:tblPr>
              <w:tblpPr w:vertAnchor="text" w:horzAnchor="margin" w:tblpXSpec="center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3801"/>
              <w:gridCol w:w="3544"/>
            </w:tblGrid>
            <w:tr w:rsidR="009110B0" w:rsidRPr="009110B0">
              <w:trPr>
                <w:trHeight w:val="532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lastRenderedPageBreak/>
                    <w:t xml:space="preserve">Semanas 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Referências Bibliográficas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 xml:space="preserve"> </w:t>
                  </w: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Apresentação da disciplina, divisão da sala em grupos de trabalho, escolha das empresas e mercados de atuação.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Primeira etapa do planejamento de marketing - Introdução do planejamento de marketing: compreensão inicial sobre características da empresa. Histórico, determinação de propósito, missão, visão e valores.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 xml:space="preserve">Definição da missão corporativa – Capitulo 02 -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KOTLER, Philip; KELLER,K.L .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Administração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de Marketing. São Paulo: Pearson Education do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Brasil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b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Primeira etapa do planejamento de marketing - Introdução do planejamento de marketing: compreensão inicial sobre características da empresa. Histórico, determinação de propósito, missão, visão e valores.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02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Primeira etapa do planejamento de marketing - Introdução do planejamento de marketing: compreensão inicial sobre características da empresa. Histórico, determinação de propósito, missão, visão e valores.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02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Segunda etapa do planejamento de marketing - Entendimento do mercado: revisão do macroambiente e do microambiente.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03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 xml:space="preserve">Segunda etapa do planejamento de marketing - Entendimento do mercado: revisão </w:t>
                  </w:r>
                  <w:r w:rsidRPr="009110B0">
                    <w:rPr>
                      <w:rFonts w:ascii="Times New Roman" w:eastAsia="Arial Unicode MS" w:hAnsi="Times New Roman" w:cs="Arial Unicode MS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 xml:space="preserve"> </w:t>
                  </w: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macroambiente e do microambiente. Realização da Matriz SWOT. Fatores Críticos de Sucesso.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02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Segunda etapa do planejamento de marketing - Entendimento do mercado: Realização da Matriz SWOT. Fatores Críticos de Sucesso.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02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rPr>
                <w:trHeight w:val="768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Terceira etapa do planejamento de marketing. Pesquisa de aprofundamento do problema de marketing e do entendimento do target. Compreender o Problema de Marketing e o target da empresa.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04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rPr>
                <w:trHeight w:val="1150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Cs/>
                      <w:i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Cs/>
                      <w:i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PRIMEIRA AVALIAÇÃO (N1) Lançamento da nota até 09/04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Entrega da parte inicial do planejamento: Dados da empresa (Ambiente Interno), revisão do macroambiente e do microambiente.</w:t>
                  </w:r>
                </w:p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Análise SWOT.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b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Terceira etapa do planejamento de marketing. Pesquisa de aprofundamento do problema de marketing e do entendimento do target. Compreender o Problema de Marketing e o target da empresa.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Capitulo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 04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 xml:space="preserve">, Philip; KELLER,K.L 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Quarta etapa do planejamento de marketing  Análise estratégica de marketing para o diagnóstico. Matrizes a serem consideradas: Cinco Forças de Porter, BCG, CVP, GE e Ansoff.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Capítulos 6; 7 e 8 - YANAZE,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Mitsuru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Higuchi.  Gestão de Marketing e Comunicação: avanços e aplicações.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São Paulo: Saraiva,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bCs/>
                      <w:i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Cs/>
                      <w:i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Quarta etapa do planejamento de marketing  Análise estratégica de marketing para o diagnóstico. Matrizes a serem consideradas: Cinco Forças de Porter, BCG, CVP, GE e Ansoff.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Capítulos 6; 7 e 8 - YANAZE,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Mitsuru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Higuchi.  Gestão de Marketing e Comunicação: avanços e aplicações.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São Paulo: Saraiva,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Quinta etapa do planejamento de marketing – Objetivos e Estratégias de Marketing. Traçar os objetivos de marketing e também as melhores estratégias a serem utilizadas para alcançar esses objetivos.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Capítulos 4; 5 e 13 - YANAZE,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Mitsuru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Higuchi.  Gestão de Marketing e Comunicação: avanços e aplicações.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São Paulo: Saraiva,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Sexta etapa do planejamento de marketing – Tomada de decisões em relação aos 4 P’s do marketing mix, a partir das descobertas feitas nas etapas anteriores. Estratégias de Produto e Estratégias de Preço.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Capitulos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12; 13 e 14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, Philip; KELLER,K.L . 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Sexta etapa do planejamento de marketing – Tomada de decisões em relação aos 4 P’s do marketing mix, a partir das descobertas feitas nas etapas anteriores. Estratégias de Comunicação.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Capitulos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12; 13 e 14 </w:t>
                  </w:r>
                  <w:proofErr w:type="gram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-  KOTLER</w:t>
                  </w:r>
                  <w:proofErr w:type="gram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, Philip; KELLER,K.L . Administração de Marketing. São Paulo: Pearson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Education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do Brasil,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Sétima etapa do planejamento de marketing - Definição de Orçamentos e Cronograma de implementação.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Capítulos 13 – parte 07-YANAZE, </w:t>
                  </w:r>
                  <w:proofErr w:type="spellStart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>Mitsuru</w:t>
                  </w:r>
                  <w:proofErr w:type="spellEnd"/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</w:rPr>
                    <w:t xml:space="preserve"> Higuchi.  Gestão de Marketing e Comunicação: avanços e aplicações. </w:t>
                  </w: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en-US"/>
                    </w:rPr>
                    <w:t>São Paulo: Saraiva, 2012.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</w:p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SEGUNDA AVALIAÇÃO (N2) Lançamrento da nota até 02/06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Entrega do plano completo, preferencialmente adotando um formato criativo, com possibilidades de concorrer à premiação dos melhores projetos.</w:t>
                  </w:r>
                </w:p>
              </w:tc>
            </w:tr>
            <w:tr w:rsidR="009110B0" w:rsidRPr="009110B0">
              <w:trPr>
                <w:trHeight w:val="825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480" w:lineRule="auto"/>
                    <w:jc w:val="center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rPr>
                      <w:rFonts w:ascii="Times New Roman" w:eastAsia="Arial Unicode MS" w:hAnsi="Times New Roman" w:cs="Arial Unicode MS"/>
                      <w:b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Ajustes do projeto e entrega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Recomendações e ajustes no projeto corrigido para entrega final e participação em concursos e eventos acadêmicos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rPr>
                      <w:rFonts w:ascii="Times New Roman" w:eastAsia="Arial Unicode MS" w:hAnsi="Times New Roman" w:cs="Arial Unicode MS"/>
                      <w:b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Prova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Prova escrita individual sobre os temas relacionados ao planejamento de marketing</w:t>
                  </w:r>
                </w:p>
              </w:tc>
            </w:tr>
            <w:tr w:rsidR="009110B0" w:rsidRPr="009110B0"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40" w:lineRule="auto"/>
                    <w:rPr>
                      <w:rFonts w:ascii="Times New Roman" w:eastAsia="Arial Unicode MS" w:hAnsi="Times New Roman" w:cs="Arial Unicode MS"/>
                      <w:b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b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Prova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110B0" w:rsidRPr="009110B0" w:rsidRDefault="009110B0" w:rsidP="009110B0">
                  <w:pPr>
                    <w:snapToGrid w:val="0"/>
                    <w:spacing w:after="0" w:line="200" w:lineRule="atLeast"/>
                    <w:rPr>
                      <w:rFonts w:ascii="Times New Roman" w:eastAsia="Arial Unicode MS" w:hAnsi="Times New Roman" w:cs="Arial Unicode MS"/>
                      <w:color w:val="000000"/>
                      <w:sz w:val="20"/>
                      <w:szCs w:val="20"/>
                      <w:u w:color="000000"/>
                      <w:lang w:val="pt-PT"/>
                    </w:rPr>
                  </w:pPr>
                  <w:r w:rsidRPr="009110B0">
                    <w:rPr>
                      <w:rFonts w:ascii="Arial" w:eastAsia="Arial Unicode MS" w:hAnsi="Arial" w:cs="Arial"/>
                      <w:color w:val="3B3838" w:themeColor="background2" w:themeShade="40"/>
                      <w:sz w:val="20"/>
                      <w:szCs w:val="20"/>
                      <w:u w:color="000000"/>
                      <w:bdr w:val="none" w:sz="0" w:space="0" w:color="auto" w:frame="1"/>
                      <w:lang w:val="pt-PT"/>
                    </w:rPr>
                    <w:t>Prova escrita individual sobre os temas relacionados ao planejamento de marketing</w:t>
                  </w:r>
                </w:p>
              </w:tc>
            </w:tr>
          </w:tbl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Arial Unicode MS" w:hAnsi="Calibri" w:cs="Arial Unicode MS"/>
                <w:i/>
                <w:iCs/>
                <w:color w:val="3B3838" w:themeColor="background2" w:themeShade="40"/>
                <w:sz w:val="20"/>
                <w:szCs w:val="20"/>
                <w:u w:color="000000"/>
                <w:bdr w:val="none" w:sz="0" w:space="0" w:color="auto" w:frame="1"/>
              </w:rPr>
            </w:pPr>
          </w:p>
        </w:tc>
      </w:tr>
      <w:tr w:rsidR="009110B0" w:rsidRPr="009110B0" w:rsidTr="009110B0">
        <w:trPr>
          <w:trHeight w:val="1314"/>
        </w:trPr>
        <w:tc>
          <w:tcPr>
            <w:tcW w:w="970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i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lastRenderedPageBreak/>
              <w:t>Bibliografia Básica:</w:t>
            </w:r>
          </w:p>
          <w:p w:rsidR="009110B0" w:rsidRPr="009110B0" w:rsidRDefault="009110B0" w:rsidP="009110B0">
            <w:pPr>
              <w:spacing w:after="0" w:line="0" w:lineRule="atLeast"/>
              <w:jc w:val="both"/>
              <w:rPr>
                <w:rFonts w:ascii="Times New Roman" w:eastAsia="Arial Unicode MS" w:hAnsi="Times New Roman" w:cs="Arial Unicode MS"/>
                <w:sz w:val="20"/>
                <w:szCs w:val="20"/>
                <w:u w:color="000000"/>
              </w:rPr>
            </w:pPr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KOTLER, Philip; KELLER,K.L . Administração de Marketing. São Paulo: Pearson </w:t>
            </w:r>
            <w:proofErr w:type="spellStart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>Education</w:t>
            </w:r>
            <w:proofErr w:type="spellEnd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 do Brasil, 2012</w:t>
            </w:r>
          </w:p>
          <w:p w:rsidR="009110B0" w:rsidRPr="009110B0" w:rsidRDefault="009110B0" w:rsidP="009110B0">
            <w:pPr>
              <w:spacing w:after="0" w:line="0" w:lineRule="atLeast"/>
              <w:jc w:val="both"/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</w:pPr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SHIMP, Terence, CRESCITELLI, Edson.  Comunicação de Marketing - Integrando propaganda, promoção e outras formas de divulgação. São Paulo: </w:t>
            </w:r>
            <w:proofErr w:type="spellStart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>Gengage</w:t>
            </w:r>
            <w:proofErr w:type="spellEnd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 do Brasil,2012.</w:t>
            </w:r>
          </w:p>
          <w:p w:rsidR="009110B0" w:rsidRPr="009110B0" w:rsidRDefault="009110B0" w:rsidP="009110B0">
            <w:pPr>
              <w:spacing w:after="0" w:line="0" w:lineRule="atLeast"/>
              <w:jc w:val="both"/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/>
              </w:rPr>
            </w:pPr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YANAZE, </w:t>
            </w:r>
            <w:proofErr w:type="spellStart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>Mitsuru</w:t>
            </w:r>
            <w:proofErr w:type="spellEnd"/>
            <w:r w:rsidRPr="009110B0">
              <w:rPr>
                <w:rFonts w:ascii="Calibri" w:eastAsia="Arial Unicode MS" w:hAnsi="Calibri" w:cs="Calibri"/>
                <w:iCs/>
                <w:sz w:val="24"/>
                <w:szCs w:val="24"/>
                <w:u w:color="000000"/>
                <w:bdr w:val="none" w:sz="0" w:space="0" w:color="auto" w:frame="1"/>
              </w:rPr>
              <w:t xml:space="preserve"> Higuchi.  Gestão de Marketing e Comunicação: avanços e aplicações. São Paulo: Saraiva, 2012.</w:t>
            </w:r>
          </w:p>
        </w:tc>
      </w:tr>
      <w:tr w:rsidR="009110B0" w:rsidRPr="009110B0" w:rsidTr="009110B0">
        <w:trPr>
          <w:trHeight w:val="1310"/>
        </w:trPr>
        <w:tc>
          <w:tcPr>
            <w:tcW w:w="9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110B0" w:rsidRPr="009110B0" w:rsidRDefault="009110B0" w:rsidP="009110B0">
            <w:pPr>
              <w:spacing w:after="0" w:line="360" w:lineRule="auto"/>
              <w:jc w:val="both"/>
              <w:rPr>
                <w:rFonts w:ascii="Times New Roman" w:eastAsia="Calibri" w:hAnsi="Times New Roman" w:cs="Arial Unicode MS"/>
                <w:i/>
                <w:color w:val="000000"/>
                <w:sz w:val="20"/>
                <w:szCs w:val="20"/>
                <w:u w:color="000000"/>
                <w:lang w:val="pt-PT"/>
              </w:rPr>
            </w:pPr>
            <w:r w:rsidRPr="009110B0">
              <w:rPr>
                <w:rFonts w:ascii="Calibri" w:eastAsia="Arial Unicode MS" w:hAnsi="Calibri" w:cs="Arial Unicode MS"/>
                <w:i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Bibliografia Complementar:</w:t>
            </w:r>
          </w:p>
          <w:p w:rsidR="009110B0" w:rsidRPr="009110B0" w:rsidRDefault="009110B0" w:rsidP="009110B0">
            <w:pPr>
              <w:spacing w:after="0" w:line="0" w:lineRule="atLeast"/>
              <w:jc w:val="both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</w:pPr>
            <w:r w:rsidRPr="009110B0"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</w:rPr>
              <w:t>CASES de varejo: o mercado de consumo brasileiro por meio de experiências reais. São Paulo: Saint Paul, 2010. </w:t>
            </w:r>
          </w:p>
          <w:p w:rsidR="009110B0" w:rsidRPr="009110B0" w:rsidRDefault="009110B0" w:rsidP="009110B0">
            <w:pPr>
              <w:spacing w:after="0" w:line="240" w:lineRule="auto"/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DURÃO, André Falcão; CENTRO DE ALTOS ESTUDOS DA ESPM. Arenas da comunicação com o mercado: articulações entre consumo, entretenimento e cultura. São Paulo: Alameda, 2010.</w:t>
            </w:r>
          </w:p>
          <w:p w:rsidR="009110B0" w:rsidRPr="009110B0" w:rsidRDefault="009110B0" w:rsidP="009110B0">
            <w:pPr>
              <w:widowControl w:val="0"/>
              <w:adjustRightInd w:val="0"/>
              <w:spacing w:after="0" w:line="240" w:lineRule="auto"/>
              <w:jc w:val="both"/>
              <w:rPr>
                <w:rFonts w:ascii="Calibri" w:eastAsia="Arial Unicode MS" w:hAnsi="Calibri" w:cs="Arial"/>
                <w:sz w:val="24"/>
                <w:szCs w:val="24"/>
                <w:u w:color="000000"/>
                <w:bdr w:val="none" w:sz="0" w:space="0" w:color="auto" w:frame="1"/>
                <w:lang w:val="en-US"/>
              </w:rPr>
            </w:pPr>
            <w:r w:rsidRPr="009110B0">
              <w:rPr>
                <w:rFonts w:ascii="Calibri" w:eastAsia="Arial Unicode MS" w:hAnsi="Calibri" w:cs="Arial"/>
                <w:sz w:val="24"/>
                <w:szCs w:val="24"/>
                <w:u w:color="000000"/>
                <w:bdr w:val="none" w:sz="0" w:space="0" w:color="auto" w:frame="1"/>
              </w:rPr>
              <w:t xml:space="preserve">HOOLEY, Graham; PIERCY, Nigel F.; NICOULAUD, Brigitte. </w:t>
            </w:r>
            <w:r w:rsidRPr="009110B0">
              <w:rPr>
                <w:rFonts w:ascii="Calibri" w:eastAsia="Arial Unicode MS" w:hAnsi="Calibri" w:cs="Arial"/>
                <w:i/>
                <w:sz w:val="24"/>
                <w:szCs w:val="24"/>
                <w:u w:color="000000"/>
                <w:bdr w:val="none" w:sz="0" w:space="0" w:color="auto" w:frame="1"/>
              </w:rPr>
              <w:t>Estratégia de marketing e posicionamento competitivo.</w:t>
            </w:r>
            <w:r w:rsidRPr="009110B0">
              <w:rPr>
                <w:rFonts w:ascii="Calibri" w:eastAsia="Arial Unicode MS" w:hAnsi="Calibri" w:cs="Arial"/>
                <w:sz w:val="24"/>
                <w:szCs w:val="24"/>
                <w:u w:color="000000"/>
                <w:bdr w:val="none" w:sz="0" w:space="0" w:color="auto" w:frame="1"/>
              </w:rPr>
              <w:t xml:space="preserve"> </w:t>
            </w:r>
            <w:r w:rsidRPr="009110B0">
              <w:rPr>
                <w:rFonts w:ascii="Calibri" w:eastAsia="Arial Unicode MS" w:hAnsi="Calibri" w:cs="Arial"/>
                <w:sz w:val="24"/>
                <w:szCs w:val="24"/>
                <w:u w:color="000000"/>
                <w:bdr w:val="none" w:sz="0" w:space="0" w:color="auto" w:frame="1"/>
                <w:lang w:val="en-US"/>
              </w:rPr>
              <w:t>4ed. Sao Paulo: Pearson Prentice Hall, 2011.</w:t>
            </w:r>
          </w:p>
          <w:p w:rsidR="009110B0" w:rsidRPr="009110B0" w:rsidRDefault="009110B0" w:rsidP="009110B0">
            <w:pPr>
              <w:spacing w:after="0" w:line="0" w:lineRule="atLeast"/>
              <w:jc w:val="both"/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/>
              </w:rPr>
              <w:t xml:space="preserve">KELLER, Kevin Lane; KOTLER, Philip. </w:t>
            </w:r>
            <w:r w:rsidRPr="009110B0"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 xml:space="preserve">Administração de Marketing. São Paulo: Pearson Education, 2012, Livro Eletrônico.  </w:t>
            </w:r>
          </w:p>
          <w:p w:rsidR="009110B0" w:rsidRPr="009110B0" w:rsidRDefault="009110B0" w:rsidP="009110B0">
            <w:pPr>
              <w:spacing w:after="0" w:line="240" w:lineRule="auto"/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  <w:r w:rsidRPr="009110B0"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  <w:t>MIGUELES, Carmen (Org.). Antropologia do consumo: casos brasileiros . Rio de Janeiro: Editora da FGV, 2007.</w:t>
            </w:r>
          </w:p>
        </w:tc>
      </w:tr>
      <w:tr w:rsidR="009110B0" w:rsidRPr="009110B0" w:rsidTr="009110B0"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vAlign w:val="center"/>
            <w:hideMark/>
          </w:tcPr>
          <w:p w:rsidR="009110B0" w:rsidRPr="009110B0" w:rsidRDefault="009110B0" w:rsidP="009110B0">
            <w:pPr>
              <w:spacing w:after="0" w:line="240" w:lineRule="auto"/>
              <w:rPr>
                <w:rFonts w:ascii="Calibri" w:eastAsia="Arial Unicode MS" w:hAnsi="Calibri" w:cs="Calibri"/>
                <w:iCs/>
                <w:color w:val="000000"/>
                <w:sz w:val="24"/>
                <w:szCs w:val="24"/>
                <w:u w:color="000000"/>
                <w:bdr w:val="none" w:sz="0" w:space="0" w:color="auto" w:frame="1"/>
                <w:lang w:val="pt-PT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vAlign w:val="center"/>
            <w:hideMark/>
          </w:tcPr>
          <w:p w:rsidR="009110B0" w:rsidRPr="009110B0" w:rsidRDefault="009110B0" w:rsidP="009110B0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vAlign w:val="center"/>
            <w:hideMark/>
          </w:tcPr>
          <w:p w:rsidR="009110B0" w:rsidRPr="009110B0" w:rsidRDefault="009110B0" w:rsidP="009110B0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CED7E7"/>
            <w:vAlign w:val="center"/>
            <w:hideMark/>
          </w:tcPr>
          <w:p w:rsidR="009110B0" w:rsidRPr="009110B0" w:rsidRDefault="009110B0" w:rsidP="009110B0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</w:tbl>
    <w:p w:rsidR="009110B0" w:rsidRPr="009110B0" w:rsidRDefault="009110B0" w:rsidP="009110B0">
      <w:pPr>
        <w:spacing w:after="0" w:line="360" w:lineRule="auto"/>
        <w:jc w:val="both"/>
        <w:rPr>
          <w:rFonts w:ascii="Calibri" w:eastAsia="Arial Unicode MS" w:hAnsi="Calibri" w:cs="Tahoma"/>
          <w:bCs/>
          <w:color w:val="000000"/>
          <w:sz w:val="24"/>
          <w:szCs w:val="24"/>
          <w:u w:color="000000"/>
          <w:bdr w:val="none" w:sz="0" w:space="0" w:color="auto" w:frame="1"/>
          <w:lang w:val="pt-PT"/>
        </w:rPr>
      </w:pPr>
    </w:p>
    <w:p w:rsidR="009110B0" w:rsidRPr="009110B0" w:rsidRDefault="009110B0" w:rsidP="009110B0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one" w:sz="0" w:space="0" w:color="auto" w:frame="1"/>
          <w:lang w:val="pt-PT"/>
        </w:rPr>
      </w:pPr>
    </w:p>
    <w:p w:rsidR="002F00F4" w:rsidRDefault="00ED5DDD"/>
    <w:sectPr w:rsidR="002F00F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5F1" w:rsidRDefault="00F065F1" w:rsidP="008860DE">
      <w:pPr>
        <w:spacing w:after="0" w:line="240" w:lineRule="auto"/>
      </w:pPr>
      <w:r>
        <w:separator/>
      </w:r>
    </w:p>
  </w:endnote>
  <w:endnote w:type="continuationSeparator" w:id="0">
    <w:p w:rsidR="00F065F1" w:rsidRDefault="00F065F1" w:rsidP="0088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5F1" w:rsidRDefault="00F065F1" w:rsidP="008860DE">
      <w:pPr>
        <w:spacing w:after="0" w:line="240" w:lineRule="auto"/>
      </w:pPr>
      <w:r>
        <w:separator/>
      </w:r>
    </w:p>
  </w:footnote>
  <w:footnote w:type="continuationSeparator" w:id="0">
    <w:p w:rsidR="00F065F1" w:rsidRDefault="00F065F1" w:rsidP="00886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0DE" w:rsidRDefault="008860DE" w:rsidP="008860DE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eastAsia="pt-BR"/>
      </w:rPr>
      <w:drawing>
        <wp:anchor distT="0" distB="0" distL="114300" distR="114300" simplePos="0" relativeHeight="251659264" behindDoc="0" locked="0" layoutInCell="1" allowOverlap="1" wp14:anchorId="1FA6B2C5" wp14:editId="5924E1EB">
          <wp:simplePos x="0" y="0"/>
          <wp:positionH relativeFrom="column">
            <wp:posOffset>-66040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D09B" wp14:editId="357EBB27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40BCD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:rsidR="008860DE" w:rsidRDefault="008860D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0B0"/>
    <w:rsid w:val="008860DE"/>
    <w:rsid w:val="009110B0"/>
    <w:rsid w:val="00A613C1"/>
    <w:rsid w:val="00E11178"/>
    <w:rsid w:val="00ED5DDD"/>
    <w:rsid w:val="00F0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D172C-85FB-4F68-B46F-B7D02F9D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semiHidden/>
    <w:unhideWhenUsed/>
    <w:rsid w:val="009110B0"/>
    <w:rPr>
      <w:lang w:val="pt-PT"/>
    </w:rPr>
  </w:style>
  <w:style w:type="character" w:customStyle="1" w:styleId="nfaseIntensa1">
    <w:name w:val="Ênfase Intensa1"/>
    <w:rsid w:val="009110B0"/>
  </w:style>
  <w:style w:type="paragraph" w:styleId="Cabealho">
    <w:name w:val="header"/>
    <w:basedOn w:val="Normal"/>
    <w:link w:val="CabealhoChar"/>
    <w:unhideWhenUsed/>
    <w:rsid w:val="008860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860DE"/>
  </w:style>
  <w:style w:type="paragraph" w:styleId="Rodap">
    <w:name w:val="footer"/>
    <w:basedOn w:val="Normal"/>
    <w:link w:val="RodapChar"/>
    <w:uiPriority w:val="99"/>
    <w:unhideWhenUsed/>
    <w:rsid w:val="008860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86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Mackenzie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Osvaldo Takaoki Hattori</dc:creator>
  <cp:keywords/>
  <dc:description/>
  <cp:lastModifiedBy>DANIELA SACUCHI AMERENO</cp:lastModifiedBy>
  <cp:revision>2</cp:revision>
  <dcterms:created xsi:type="dcterms:W3CDTF">2020-02-11T19:02:00Z</dcterms:created>
  <dcterms:modified xsi:type="dcterms:W3CDTF">2020-02-11T19:02:00Z</dcterms:modified>
</cp:coreProperties>
</file>